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2B" w:rsidRDefault="0018342B" w:rsidP="0018342B">
      <w:pPr>
        <w:jc w:val="center"/>
        <w:rPr>
          <w:rFonts w:ascii="宋体" w:eastAsia="宋体" w:hAnsi="宋体" w:cs="宋体"/>
          <w:b/>
          <w:bCs/>
          <w:color w:val="000000" w:themeColor="text1"/>
          <w:sz w:val="36"/>
          <w:szCs w:val="36"/>
          <w:lang w:eastAsia="zh-CN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 w:themeColor="text1"/>
          <w:sz w:val="36"/>
          <w:szCs w:val="36"/>
          <w:lang w:eastAsia="zh-CN"/>
        </w:rPr>
        <w:t>四川民族山地经济发展研究中心2018年度课题指南</w:t>
      </w:r>
    </w:p>
    <w:bookmarkEnd w:id="0"/>
    <w:p w:rsidR="0018342B" w:rsidRDefault="0018342B" w:rsidP="0018342B">
      <w:pPr>
        <w:pStyle w:val="A6"/>
        <w:spacing w:line="360" w:lineRule="auto"/>
        <w:rPr>
          <w:rStyle w:val="A5"/>
          <w:rFonts w:asciiTheme="minorEastAsia" w:eastAsiaTheme="minorEastAsia" w:hAnsiTheme="minorEastAsia"/>
          <w:sz w:val="24"/>
          <w:szCs w:val="24"/>
          <w:lang w:val="zh-TW" w:eastAsia="zh-TW"/>
        </w:rPr>
      </w:pPr>
    </w:p>
    <w:p w:rsidR="0018342B" w:rsidRDefault="0018342B" w:rsidP="0018342B">
      <w:pPr>
        <w:pStyle w:val="A6"/>
        <w:widowControl/>
        <w:spacing w:before="100" w:after="240"/>
        <w:ind w:firstLineChars="100" w:firstLine="240"/>
        <w:jc w:val="left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Style w:val="A5"/>
          <w:rFonts w:ascii="宋体" w:eastAsia="宋体" w:hAnsi="宋体" w:cs="宋体"/>
          <w:kern w:val="0"/>
          <w:sz w:val="24"/>
          <w:szCs w:val="24"/>
          <w:lang w:val="zh-TW" w:eastAsia="zh-TW"/>
        </w:rPr>
        <w:t>（</w:t>
      </w: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课题</w:t>
      </w:r>
      <w:r>
        <w:rPr>
          <w:rStyle w:val="A5"/>
          <w:rFonts w:ascii="宋体" w:eastAsia="宋体" w:hAnsi="宋体" w:cs="宋体" w:hint="eastAsia"/>
          <w:kern w:val="0"/>
          <w:sz w:val="24"/>
          <w:szCs w:val="24"/>
          <w:lang w:val="zh-TW" w:eastAsia="zh-TW"/>
        </w:rPr>
        <w:t>指南所列条目仅为申报者提供选题依据，申报者可自拟题目。）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重点选题：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1、四川民族地区乡村振兴道路研究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2、四川民族地区土地制度供给侧结构性改革研究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3、四川民族地区深度贫困地区脱贫攻坚研究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4、四川民族地区生态建设与产业发展研究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5、四川民族地区经济增长新动能研究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6、乡村振兴战略与四川少数民族特色村寨建设研究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一般选题：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1、四川民族地区乡村振兴的金融服务问题研究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2、四川民族地区农民土地承包经营权有偿退出机制研究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3、四川民族地区新型职业农民培育研究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4、四川民族地区绿色产业发展问题研究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5、四川民族</w:t>
      </w:r>
      <w:proofErr w:type="gramStart"/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地区康养产业</w:t>
      </w:r>
      <w:proofErr w:type="gramEnd"/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发展研究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6、四川民族地区乡村产业类型及推进方式研究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7、四川民族地区旅游业与农业融合发展研究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8、电子商务与高原特色农业发展问题研究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9、四川民族地区城乡融合发展机制和政策体系研究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10、四川民族地区特色小镇研究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11、四川民族地区政府与社会资本合作模式（PPP）的规范运作研究</w:t>
      </w:r>
    </w:p>
    <w:p w:rsidR="0018342B" w:rsidRDefault="0018342B" w:rsidP="0018342B">
      <w:pPr>
        <w:pStyle w:val="A6"/>
        <w:widowControl/>
        <w:spacing w:before="100" w:after="240"/>
        <w:jc w:val="left"/>
        <w:rPr>
          <w:rStyle w:val="A5"/>
          <w:rFonts w:ascii="宋体" w:eastAsia="宋体" w:hAnsi="宋体" w:cs="宋体"/>
          <w:kern w:val="0"/>
          <w:sz w:val="24"/>
          <w:szCs w:val="24"/>
        </w:rPr>
      </w:pPr>
      <w:r>
        <w:rPr>
          <w:rStyle w:val="A5"/>
          <w:rFonts w:ascii="宋体" w:eastAsia="宋体" w:hAnsi="宋体" w:cs="宋体" w:hint="eastAsia"/>
          <w:kern w:val="0"/>
          <w:sz w:val="24"/>
          <w:szCs w:val="24"/>
        </w:rPr>
        <w:t>12、四川民族地区生态环境与资源保护机制研究</w:t>
      </w:r>
    </w:p>
    <w:p w:rsidR="00550086" w:rsidRDefault="00550086">
      <w:pPr>
        <w:rPr>
          <w:rFonts w:hint="eastAsia"/>
          <w:lang w:eastAsia="zh-CN"/>
        </w:rPr>
      </w:pPr>
    </w:p>
    <w:sectPr w:rsidR="00550086">
      <w:pgSz w:w="11900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3F" w:rsidRDefault="00F2793F" w:rsidP="0018342B">
      <w:r>
        <w:separator/>
      </w:r>
    </w:p>
  </w:endnote>
  <w:endnote w:type="continuationSeparator" w:id="0">
    <w:p w:rsidR="00F2793F" w:rsidRDefault="00F2793F" w:rsidP="0018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3F" w:rsidRDefault="00F2793F" w:rsidP="0018342B">
      <w:r>
        <w:separator/>
      </w:r>
    </w:p>
  </w:footnote>
  <w:footnote w:type="continuationSeparator" w:id="0">
    <w:p w:rsidR="00F2793F" w:rsidRDefault="00F2793F" w:rsidP="0018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B0"/>
    <w:rsid w:val="0018342B"/>
    <w:rsid w:val="00550086"/>
    <w:rsid w:val="006618B0"/>
    <w:rsid w:val="00F2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2B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4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83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42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8342B"/>
    <w:rPr>
      <w:sz w:val="18"/>
      <w:szCs w:val="18"/>
    </w:rPr>
  </w:style>
  <w:style w:type="character" w:customStyle="1" w:styleId="A5">
    <w:name w:val="无 A"/>
    <w:qFormat/>
    <w:rsid w:val="0018342B"/>
    <w:rPr>
      <w:lang w:val="en-US"/>
    </w:rPr>
  </w:style>
  <w:style w:type="paragraph" w:customStyle="1" w:styleId="A6">
    <w:name w:val="正文 A"/>
    <w:qFormat/>
    <w:rsid w:val="0018342B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2B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4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83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42B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8342B"/>
    <w:rPr>
      <w:sz w:val="18"/>
      <w:szCs w:val="18"/>
    </w:rPr>
  </w:style>
  <w:style w:type="character" w:customStyle="1" w:styleId="A5">
    <w:name w:val="无 A"/>
    <w:qFormat/>
    <w:rsid w:val="0018342B"/>
    <w:rPr>
      <w:lang w:val="en-US"/>
    </w:rPr>
  </w:style>
  <w:style w:type="paragraph" w:customStyle="1" w:styleId="A6">
    <w:name w:val="正文 A"/>
    <w:qFormat/>
    <w:rsid w:val="0018342B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limeiyan</dc:creator>
  <cp:keywords/>
  <dc:description/>
  <cp:lastModifiedBy>limeiyan</cp:lastModifiedBy>
  <cp:revision>2</cp:revision>
  <dcterms:created xsi:type="dcterms:W3CDTF">2018-04-09T03:17:00Z</dcterms:created>
  <dcterms:modified xsi:type="dcterms:W3CDTF">2018-04-09T03:17:00Z</dcterms:modified>
</cp:coreProperties>
</file>