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Pr="003041FA" w:rsidRDefault="00BB6C67" w:rsidP="00BB6C67">
      <w:pPr>
        <w:spacing w:line="360" w:lineRule="auto"/>
        <w:jc w:val="center"/>
        <w:rPr>
          <w:rFonts w:ascii="宋体" w:hAnsi="宋体" w:hint="eastAsia"/>
          <w:b/>
          <w:color w:val="FF0000"/>
          <w:sz w:val="44"/>
          <w:szCs w:val="44"/>
        </w:rPr>
      </w:pPr>
      <w:r w:rsidRPr="003041FA">
        <w:rPr>
          <w:rFonts w:ascii="宋体" w:hAnsi="宋体" w:hint="eastAsia"/>
          <w:b/>
          <w:color w:val="FF0000"/>
          <w:sz w:val="44"/>
          <w:szCs w:val="44"/>
        </w:rPr>
        <w:t>四川民族山地经济发展研究中心课题指南</w:t>
      </w:r>
    </w:p>
    <w:p w:rsidR="00BB6C67" w:rsidRPr="003041FA" w:rsidRDefault="00BB6C67" w:rsidP="00BB6C67">
      <w:pPr>
        <w:rPr>
          <w:rFonts w:ascii="Tekton Pro Ext" w:eastAsia="楷体_GB2312" w:hAnsi="Tekton Pro Ext"/>
          <w:b/>
          <w:sz w:val="28"/>
          <w:szCs w:val="24"/>
        </w:rPr>
      </w:pP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1.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四川民族地区产业结构调整问题研究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2.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四川民族地区绿色产业发展问题研究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3.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四川民族地区资源节约循环高效使用研究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4.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四川民族地区生态文化培育机制研究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5.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四川民族地区自然生态系统保护和修复体系研究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6.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四川民族地区跨区域污染防治协调机制研究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7.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川西北地区主体功能区战略问题研究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8.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攀西地区主体功能区战略问题研究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9.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四川民族地区美丽乡村建设问题研究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10.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四川民族地区城乡一体化问题研究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11.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四川民族地区生态文明制度体系构建研究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12.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</w:t>
      </w:r>
      <w:r w:rsidRPr="003041FA">
        <w:rPr>
          <w:rFonts w:ascii="Tekton Pro Ext" w:eastAsia="楷体_GB2312" w:hAnsi="Tekton Pro Ext"/>
          <w:b/>
          <w:sz w:val="28"/>
          <w:szCs w:val="24"/>
        </w:rPr>
        <w:t>资源开发与保护政策体系研究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13.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</w:t>
      </w:r>
      <w:r w:rsidRPr="003041FA">
        <w:rPr>
          <w:rFonts w:ascii="Tekton Pro Ext" w:eastAsia="楷体_GB2312" w:hAnsi="Tekton Pro Ext"/>
          <w:b/>
          <w:sz w:val="28"/>
          <w:szCs w:val="24"/>
        </w:rPr>
        <w:t>资源开发与保护评价体系研究</w:t>
      </w:r>
    </w:p>
    <w:p w:rsidR="00BB6C67" w:rsidRPr="003041FA" w:rsidRDefault="00BB6C67" w:rsidP="00BB6C67">
      <w:pPr>
        <w:rPr>
          <w:rFonts w:ascii="Tekton Pro Ext" w:eastAsia="楷体_GB2312" w:hAnsi="Tekton Pro Ext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14.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四川民族地区矿产资源开发的生态补偿机制</w:t>
      </w:r>
      <w:r w:rsidRPr="003041FA">
        <w:rPr>
          <w:rFonts w:ascii="Tekton Pro Ext" w:eastAsia="楷体_GB2312" w:hAnsi="Tekton Pro Ext"/>
          <w:b/>
          <w:sz w:val="28"/>
          <w:szCs w:val="24"/>
        </w:rPr>
        <w:t>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15.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四川民族地区资源集聚地区生态状况调查及评估问题研究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16.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四川少数民族地区精准扶贫问题研究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17.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四川民族山地经济转型升级研究</w:t>
      </w:r>
    </w:p>
    <w:p w:rsidR="00BB6C67" w:rsidRPr="003041FA" w:rsidRDefault="00BB6C67" w:rsidP="00BB6C67">
      <w:pPr>
        <w:rPr>
          <w:rFonts w:ascii="Tekton Pro Ext" w:eastAsia="楷体_GB2312" w:hAnsi="Tekton Pro Ext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18.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金沙江、雅砻江、大渡河流域经济发展战略问题研究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19.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凉山州（或甘孜州、阿坝州）高原特色农业发展问题研究</w:t>
      </w:r>
    </w:p>
    <w:p w:rsidR="00BB6C67" w:rsidRPr="003041FA" w:rsidRDefault="00BB6C67" w:rsidP="00BB6C67">
      <w:pPr>
        <w:rPr>
          <w:rFonts w:ascii="Tekton Pro Ext" w:eastAsia="楷体_GB2312" w:hAnsi="Tekton Pro Ext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20.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四川民族地区县域经济发展研究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lastRenderedPageBreak/>
        <w:t>21.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少数民族聚集区同步全面建成小康社会问题研究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22.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四川彝区、藏区经济社会协调发展及社会稳定系统研究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23.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四川民族地区旅游循环经济发展问题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24.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转型背景下的四川民族地区农村土地流转问题研究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25.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转型背景下的四川民族山地农业产业标准化问题研究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26.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四川民族山地区域新型农业生产经营体系构建研究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27.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四川民族地区经济社会发展中的金融、财政、税收支持问题研究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28.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资源优势与产业集群构建问题研究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29.</w:t>
      </w:r>
      <w:proofErr w:type="gramStart"/>
      <w:r w:rsidRPr="003041FA">
        <w:rPr>
          <w:rFonts w:ascii="Tekton Pro Ext" w:eastAsia="楷体_GB2312" w:hAnsi="Tekton Pro Ext" w:hint="eastAsia"/>
          <w:b/>
          <w:sz w:val="28"/>
          <w:szCs w:val="24"/>
        </w:rPr>
        <w:t>彝风彝俗</w:t>
      </w:r>
      <w:proofErr w:type="gramEnd"/>
      <w:r w:rsidRPr="003041FA">
        <w:rPr>
          <w:rFonts w:ascii="Tekton Pro Ext" w:eastAsia="楷体_GB2312" w:hAnsi="Tekton Pro Ext" w:hint="eastAsia"/>
          <w:b/>
          <w:sz w:val="28"/>
          <w:szCs w:val="24"/>
        </w:rPr>
        <w:t>与凉山经济社会发展问题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30.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电子商务与高原特色农业发展问题研究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 xml:space="preserve">31. 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四川民族地区优势产业与园区建设研究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32.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经济发展与少数民族就业问题研究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  <w:r w:rsidRPr="003041FA">
        <w:rPr>
          <w:rFonts w:ascii="Tekton Pro Ext" w:eastAsia="楷体_GB2312" w:hAnsi="Tekton Pro Ext" w:hint="eastAsia"/>
          <w:b/>
          <w:sz w:val="28"/>
          <w:szCs w:val="24"/>
        </w:rPr>
        <w:t>33.</w:t>
      </w:r>
      <w:r w:rsidRPr="003041FA">
        <w:rPr>
          <w:rFonts w:ascii="Tekton Pro Ext" w:eastAsia="楷体_GB2312" w:hAnsi="Tekton Pro Ext" w:hint="eastAsia"/>
          <w:b/>
          <w:sz w:val="28"/>
          <w:szCs w:val="24"/>
        </w:rPr>
        <w:t>少数民族劳动技能培训研究</w:t>
      </w: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</w:p>
    <w:p w:rsidR="00BB6C67" w:rsidRPr="003041FA" w:rsidRDefault="00BB6C67" w:rsidP="00BB6C67">
      <w:pPr>
        <w:rPr>
          <w:rFonts w:ascii="Tekton Pro Ext" w:eastAsia="楷体_GB2312" w:hAnsi="Tekton Pro Ext"/>
          <w:b/>
          <w:sz w:val="28"/>
          <w:szCs w:val="24"/>
        </w:rPr>
      </w:pPr>
    </w:p>
    <w:p w:rsidR="00BB6C67" w:rsidRPr="003041FA" w:rsidRDefault="00BB6C67" w:rsidP="00BB6C67">
      <w:pPr>
        <w:rPr>
          <w:rFonts w:ascii="Tekton Pro Ext" w:eastAsia="楷体_GB2312" w:hAnsi="Tekton Pro Ext" w:hint="eastAsia"/>
          <w:b/>
          <w:sz w:val="28"/>
          <w:szCs w:val="24"/>
        </w:rPr>
      </w:pPr>
    </w:p>
    <w:p w:rsidR="00A21BE3" w:rsidRPr="00BB6C67" w:rsidRDefault="00A21BE3"/>
    <w:sectPr w:rsidR="00A21BE3" w:rsidRPr="00BB6C67" w:rsidSect="00A2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C67"/>
    <w:rsid w:val="000042C6"/>
    <w:rsid w:val="000B1318"/>
    <w:rsid w:val="000C4D06"/>
    <w:rsid w:val="000F682F"/>
    <w:rsid w:val="00163016"/>
    <w:rsid w:val="001A23DA"/>
    <w:rsid w:val="00236426"/>
    <w:rsid w:val="00282670"/>
    <w:rsid w:val="002E62D4"/>
    <w:rsid w:val="00334E22"/>
    <w:rsid w:val="00382EE3"/>
    <w:rsid w:val="003B0E48"/>
    <w:rsid w:val="003D3601"/>
    <w:rsid w:val="003E1ED2"/>
    <w:rsid w:val="00410A0F"/>
    <w:rsid w:val="00415853"/>
    <w:rsid w:val="0045364B"/>
    <w:rsid w:val="00481BC8"/>
    <w:rsid w:val="004846F8"/>
    <w:rsid w:val="004E566B"/>
    <w:rsid w:val="005A6ED4"/>
    <w:rsid w:val="006176D1"/>
    <w:rsid w:val="00621C7A"/>
    <w:rsid w:val="00640F59"/>
    <w:rsid w:val="006B107C"/>
    <w:rsid w:val="00753C95"/>
    <w:rsid w:val="007D3034"/>
    <w:rsid w:val="007F7751"/>
    <w:rsid w:val="00815EA9"/>
    <w:rsid w:val="009539D4"/>
    <w:rsid w:val="009616A0"/>
    <w:rsid w:val="009C27EB"/>
    <w:rsid w:val="009E2334"/>
    <w:rsid w:val="00A21BE3"/>
    <w:rsid w:val="00A343AB"/>
    <w:rsid w:val="00A61217"/>
    <w:rsid w:val="00B35C4C"/>
    <w:rsid w:val="00B37433"/>
    <w:rsid w:val="00B80FB7"/>
    <w:rsid w:val="00BB6C67"/>
    <w:rsid w:val="00C41694"/>
    <w:rsid w:val="00CC43C9"/>
    <w:rsid w:val="00DB39C6"/>
    <w:rsid w:val="00DE7E16"/>
    <w:rsid w:val="00F11A20"/>
    <w:rsid w:val="00F67810"/>
    <w:rsid w:val="00F8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陈乙玮</dc:creator>
  <cp:lastModifiedBy>陈乙玮</cp:lastModifiedBy>
  <cp:revision>1</cp:revision>
  <dcterms:created xsi:type="dcterms:W3CDTF">2016-03-04T03:00:00Z</dcterms:created>
  <dcterms:modified xsi:type="dcterms:W3CDTF">2016-03-04T03:02:00Z</dcterms:modified>
</cp:coreProperties>
</file>